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Book Antiqua" w:hAnsi="Book Antiqua" w:eastAsia="Times New Roman" w:cs="Times New Roman"/>
          <w:bCs/>
          <w:sz w:val="24"/>
          <w:szCs w:val="24"/>
          <w:lang w:eastAsia="ru-RU"/>
        </w:rPr>
      </w:pPr>
      <w:r>
        <w:rPr>
          <w:rFonts w:ascii="Book Antiqua" w:hAnsi="Book Antiqua" w:eastAsia="Times New Roman" w:cs="Times New Roman"/>
          <w:bCs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-83185</wp:posOffset>
                </wp:positionV>
                <wp:extent cx="822325" cy="10763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32460" cy="9753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4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-6.55pt;height:84.75pt;width:64.75pt;z-index:251659264;mso-width-relative:page;mso-height-relative:page;" fillcolor="#FFFFFF" filled="t" stroked="f" coordsize="21600,21600" o:allowincell="f" o:gfxdata="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Lukd9YAAAAJAQAADwAAAAAAAAABACAAAAAiAAAAZHJzL2Rvd25y&#10;ZXYueG1sUEsBAhQAFAAAAAgAh07iQNLI8Zw5AgAARQQAAA4AAAAAAAAAAQAgAAAAJQEAAGRycy9l&#10;Mm9Eb2MueG1sUEsFBgAAAAAGAAYAWQEAAN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  <w:lang w:eastAsia="ru-RU"/>
                        </w:rPr>
                        <w:drawing>
                          <wp:inline distT="0" distB="0" distL="0" distR="0">
                            <wp:extent cx="632460" cy="9753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46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jc w:val="center"/>
        <w:rPr>
          <w:rFonts w:ascii="Book Antiqua" w:hAnsi="Book Antiqua" w:eastAsia="Times New Roman" w:cs="Arial"/>
          <w:bCs/>
          <w:i/>
          <w:sz w:val="24"/>
          <w:szCs w:val="24"/>
          <w:lang w:eastAsia="ru-RU"/>
        </w:rPr>
      </w:pPr>
      <w:r>
        <w:rPr>
          <w:rFonts w:ascii="Book Antiqua" w:hAnsi="Book Antiqua" w:eastAsia="Times New Roman" w:cs="Arial"/>
          <w:bCs/>
          <w:i/>
          <w:sz w:val="24"/>
          <w:szCs w:val="24"/>
          <w:lang w:eastAsia="ru-RU"/>
        </w:rPr>
        <w:t>Акционерное общество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Book Antiqua" w:hAnsi="Book Antiqua" w:eastAsia="Times New Roman" w:cs="Arial"/>
          <w:i/>
          <w:iCs/>
          <w:sz w:val="40"/>
          <w:szCs w:val="40"/>
          <w:lang w:eastAsia="ru-RU"/>
        </w:rPr>
      </w:pPr>
      <w:r>
        <w:rPr>
          <w:rFonts w:ascii="Book Antiqua" w:hAnsi="Book Antiqua" w:eastAsia="Times New Roman" w:cs="Arial"/>
          <w:i/>
          <w:iCs/>
          <w:sz w:val="40"/>
          <w:szCs w:val="40"/>
          <w:lang w:eastAsia="ru-RU"/>
        </w:rPr>
        <w:t xml:space="preserve">Мурманская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Book Antiqua" w:hAnsi="Book Antiqua" w:eastAsia="Times New Roman" w:cs="Arial"/>
          <w:i/>
          <w:iCs/>
          <w:sz w:val="40"/>
          <w:szCs w:val="40"/>
          <w:lang w:eastAsia="ru-RU"/>
        </w:rPr>
      </w:pPr>
      <w:r>
        <w:rPr>
          <w:rFonts w:ascii="Book Antiqua" w:hAnsi="Book Antiqua" w:eastAsia="Times New Roman" w:cs="Arial"/>
          <w:i/>
          <w:iCs/>
          <w:sz w:val="40"/>
          <w:szCs w:val="40"/>
          <w:lang w:eastAsia="ru-RU"/>
        </w:rPr>
        <w:t>геологоразведочная экспедиция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голосования на общем собрании акционеров</w:t>
      </w:r>
    </w:p>
    <w:tbl>
      <w:tblPr>
        <w:tblStyle w:val="3"/>
        <w:tblW w:w="4791" w:type="pct"/>
        <w:tblInd w:w="6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  <w:gridCol w:w="45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Акционерное общество "Мурманская геологоразведочная экспедиция"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184209, обл. Мурманская, г. Апатиты, ул. Ферсмана, д.26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Годовое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Заочное голосование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мая 2023 года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26 мая 2023 года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183038, г. Мурманск, проспект Ленина, д.73, оф.202.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Акционерное общество «Независимая регистраторская компания Р.О.С.Т.»; г. Москва; 107076, г. Москва, ул. Стромынка, </w:t>
            </w:r>
          </w:p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д. 18, корп. 5Б, помещение IX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Гоглева Татьяна Альбертовна </w:t>
            </w:r>
          </w:p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по доверенности № 554 от 28.12.2021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6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633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 мая 2023 года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 Протоколе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Повестка дня общего собрания: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1) Утверждение годового отчета Общества за 2022 год.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2) Утверждение годовой бухгалтерской (финансовой) отчетности Общества за 2022 г.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3) О распределении прибыли (в том числе выплате (объявлении) дивидендов) и убытков общества по результатам 2022 отчетного года.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4) Утверждение аудитора Общества на 2023 г.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5) Избрание Совета директоров Общества.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6) Избрание Ревизионной комиссии Общества.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годового отчета Общества за 2022 год.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69 444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40 416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58.199412%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40 393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99.943092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0.056908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40 416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hint="default"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</w:rPr>
        <w:t>Утвердить годовой отчет Общества за 2022 год.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годовой бухгалтерской (финансовой) отчетности Общества за 2022 г.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69 444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40 416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58.199412%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40 393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99.943092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0.056908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40 416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Утвердить годовую бухгалтерскую (финансовую) отчетность Общества за 2022 год.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bookmarkStart w:id="0" w:name="_GoBack"/>
      <w:bookmarkEnd w:id="0"/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3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 распределении прибыли (в том числе выплате (объявлении) дивидендов) и убытков общества по результатам 2022 отчетного года.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69 444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40 416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58.199412%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40 323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99.769893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93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0.230107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40 416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Прибыль распределению не подлежит, в связи с ее незначительностью. Дивиденды по размещенным акциям АО «Мурманская ГРЭ» за 2022 отчетный год не выплачивать. Направить в фонд потребления 2023 г.  5 млн. рублей из нераспределенной прибыли прошлых лет.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аудитора Общества на 2023 г.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69 444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69 444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40 416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58.199412%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6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660"/>
        <w:gridCol w:w="32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принявших участие в собрании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40 346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99.826801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0.173199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40 416</w:t>
            </w:r>
          </w:p>
        </w:tc>
        <w:tc>
          <w:tcPr>
            <w:tcW w:w="3288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100.000000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  <w:lang w:val="en-US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  <w:lang w:val="en-US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Утвердить Аудитором Общества на 2023 год ООО «АФК «АКАР» (ОГРН 1167847324204, адрес место нахождения: г. Санкт-Петербург, ул. Косинова, дом 4, корп. 2,кв. 88).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Избрание Совета директоров Общества.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347 220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347 220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202 080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58.199412%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36"/>
        <w:gridCol w:w="35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"ЗА", распределение голосов по кандидатам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Переина Александра Владимировна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40 673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Жогот Алексей Александрович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40 323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Папкова Татьяна Борисовна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40 323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Петруничев Сергей Леонидович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40 323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Шевцова Дарья Анатольевна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40 323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115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202 080 </w:t>
            </w:r>
          </w:p>
        </w:tc>
      </w:tr>
    </w:tbl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Избрать Совет директоров Общества в следующем составе: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Переина Александра Владимировна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 Жогот Алексей Александрович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 Папкова Татьяна Борисовна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 Петруничев Сергей Леонидович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 Шевцова Дарья Анатольевна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Кворум и итоги голосования по вопросу № 6 повестки дня: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Избрание Ревизионной комиссии Общества.</w:t>
      </w:r>
    </w:p>
    <w:p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tbl>
      <w:tblPr>
        <w:tblStyle w:val="3"/>
        <w:tblW w:w="10307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  <w:gridCol w:w="18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69 444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69 336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40 416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58.290066%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</w:p>
    <w:p>
      <w:pPr>
        <w:spacing w:after="0"/>
        <w:ind w:left="567"/>
        <w:rPr>
          <w:rFonts w:ascii="Tahoma" w:hAnsi="Tahoma" w:cs="Tahoma"/>
          <w:sz w:val="20"/>
        </w:rPr>
      </w:pPr>
    </w:p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Распределение голосов</w:t>
      </w:r>
    </w:p>
    <w:p>
      <w:pPr>
        <w:spacing w:after="0"/>
        <w:ind w:left="567"/>
        <w:rPr>
          <w:rFonts w:ascii="Tahoma" w:hAnsi="Tahoma" w:cs="Tahoma"/>
          <w:sz w:val="20"/>
        </w:rPr>
      </w:pPr>
    </w:p>
    <w:tbl>
      <w:tblPr>
        <w:tblStyle w:val="3"/>
        <w:tblW w:w="10452" w:type="dxa"/>
        <w:tblInd w:w="56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625"/>
        <w:gridCol w:w="992"/>
        <w:gridCol w:w="1020"/>
        <w:gridCol w:w="1248"/>
        <w:gridCol w:w="1843"/>
        <w:gridCol w:w="1701"/>
        <w:gridCol w:w="1474"/>
        <w:gridCol w:w="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vMerge w:val="restart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№</w:t>
            </w:r>
          </w:p>
        </w:tc>
        <w:tc>
          <w:tcPr>
            <w:tcW w:w="1625" w:type="dxa"/>
            <w:vMerge w:val="restart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5103" w:type="dxa"/>
            <w:gridSpan w:val="4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25" w:type="dxa"/>
            <w:gridSpan w:val="3"/>
            <w:shd w:val="clear" w:color="auto" w:fill="auto"/>
          </w:tcPr>
          <w:p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</w:trPr>
        <w:tc>
          <w:tcPr>
            <w:tcW w:w="499" w:type="dxa"/>
            <w:vMerge w:val="continue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</w:t>
            </w:r>
          </w:p>
        </w:tc>
        <w:tc>
          <w:tcPr>
            <w:tcW w:w="1020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%*</w:t>
            </w:r>
          </w:p>
        </w:tc>
        <w:tc>
          <w:tcPr>
            <w:tcW w:w="124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</w:trPr>
        <w:tc>
          <w:tcPr>
            <w:tcW w:w="499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Переина Галина Викторовна</w:t>
            </w:r>
          </w:p>
        </w:tc>
        <w:tc>
          <w:tcPr>
            <w:tcW w:w="992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40393</w:t>
            </w:r>
          </w:p>
        </w:tc>
        <w:tc>
          <w:tcPr>
            <w:tcW w:w="1020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99.943</w:t>
            </w:r>
          </w:p>
        </w:tc>
        <w:tc>
          <w:tcPr>
            <w:tcW w:w="124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23</w:t>
            </w:r>
          </w:p>
        </w:tc>
        <w:tc>
          <w:tcPr>
            <w:tcW w:w="1474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</w:trPr>
        <w:tc>
          <w:tcPr>
            <w:tcW w:w="499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Торопова Юлия Юрьевна</w:t>
            </w:r>
          </w:p>
        </w:tc>
        <w:tc>
          <w:tcPr>
            <w:tcW w:w="992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40346</w:t>
            </w:r>
          </w:p>
        </w:tc>
        <w:tc>
          <w:tcPr>
            <w:tcW w:w="1020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99.826</w:t>
            </w:r>
          </w:p>
        </w:tc>
        <w:tc>
          <w:tcPr>
            <w:tcW w:w="124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70</w:t>
            </w:r>
          </w:p>
        </w:tc>
        <w:tc>
          <w:tcPr>
            <w:tcW w:w="1474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</w:trPr>
        <w:tc>
          <w:tcPr>
            <w:tcW w:w="499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Котов Роман Леонидович</w:t>
            </w:r>
          </w:p>
        </w:tc>
        <w:tc>
          <w:tcPr>
            <w:tcW w:w="992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40323</w:t>
            </w:r>
          </w:p>
        </w:tc>
        <w:tc>
          <w:tcPr>
            <w:tcW w:w="1020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99.769</w:t>
            </w:r>
          </w:p>
        </w:tc>
        <w:tc>
          <w:tcPr>
            <w:tcW w:w="1248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93</w:t>
            </w:r>
          </w:p>
        </w:tc>
        <w:tc>
          <w:tcPr>
            <w:tcW w:w="1474" w:type="dxa"/>
            <w:shd w:val="clear" w:color="auto" w:fill="auto"/>
          </w:tcPr>
          <w:p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</w:tc>
      </w:tr>
    </w:tbl>
    <w:p>
      <w:pPr>
        <w:spacing w:after="0"/>
        <w:ind w:left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- процент от принявших  участие в собрании.</w:t>
      </w: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Избрать Ревизионную комиссию Общества в следующем составе: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Переина Галина Викторовна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Торопова Юлия Юрьевна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Котов Роман Леонидович</w:t>
      </w:r>
    </w:p>
    <w:p>
      <w:pPr>
        <w:spacing w:after="0"/>
        <w:ind w:left="567"/>
        <w:jc w:val="both"/>
        <w:rPr>
          <w:rFonts w:ascii="Tahoma" w:hAnsi="Tahoma" w:cs="Tahoma"/>
          <w:sz w:val="20"/>
        </w:rPr>
      </w:pPr>
    </w:p>
    <w:p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РЕШЕНИЕ ПРИНЯТО</w:t>
      </w:r>
    </w:p>
    <w:p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567" w:right="567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54"/>
    <w:rsid w:val="000D6C1E"/>
    <w:rsid w:val="0012073E"/>
    <w:rsid w:val="00130F85"/>
    <w:rsid w:val="001E12E1"/>
    <w:rsid w:val="002476AA"/>
    <w:rsid w:val="002E0D26"/>
    <w:rsid w:val="00347C33"/>
    <w:rsid w:val="0036714B"/>
    <w:rsid w:val="004855C2"/>
    <w:rsid w:val="005E4C3E"/>
    <w:rsid w:val="005F0214"/>
    <w:rsid w:val="005F0821"/>
    <w:rsid w:val="00640DDF"/>
    <w:rsid w:val="00697654"/>
    <w:rsid w:val="006A35C7"/>
    <w:rsid w:val="006E7750"/>
    <w:rsid w:val="006F3B05"/>
    <w:rsid w:val="0074743E"/>
    <w:rsid w:val="00766CE8"/>
    <w:rsid w:val="008012DA"/>
    <w:rsid w:val="00817055"/>
    <w:rsid w:val="008B69FC"/>
    <w:rsid w:val="008F7C52"/>
    <w:rsid w:val="00944269"/>
    <w:rsid w:val="009D5A6F"/>
    <w:rsid w:val="00B93E88"/>
    <w:rsid w:val="00BB45E9"/>
    <w:rsid w:val="00BE6965"/>
    <w:rsid w:val="00CE1415"/>
    <w:rsid w:val="00CF1191"/>
    <w:rsid w:val="00CF23D1"/>
    <w:rsid w:val="00D67033"/>
    <w:rsid w:val="00D77EDB"/>
    <w:rsid w:val="00D8409C"/>
    <w:rsid w:val="00DA56B6"/>
    <w:rsid w:val="00DB239C"/>
    <w:rsid w:val="00E14547"/>
    <w:rsid w:val="00E60982"/>
    <w:rsid w:val="00E81D09"/>
    <w:rsid w:val="00EA2421"/>
    <w:rsid w:val="00EB793C"/>
    <w:rsid w:val="00FB539A"/>
    <w:rsid w:val="246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34E2E8-08CD-4282-8AFE-D0848FE5A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1416</Words>
  <Characters>8075</Characters>
  <Lines>67</Lines>
  <Paragraphs>18</Paragraphs>
  <TotalTime>32</TotalTime>
  <ScaleCrop>false</ScaleCrop>
  <LinksUpToDate>false</LinksUpToDate>
  <CharactersWithSpaces>9473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2019-06-16T12:40:00Z</dcterms:created>
  <dc:creator>NikitinaNV</dc:creator>
  <cp:lastModifiedBy>Юрий Самойлов</cp:lastModifiedBy>
  <cp:lastPrinted>2019-06-16T12:36:00Z</cp:lastPrinted>
  <dcterms:modified xsi:type="dcterms:W3CDTF">2023-05-29T15:22:31Z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7A39446BF2F14928A922002BF0C5ACE7</vt:lpwstr>
  </property>
</Properties>
</file>